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2DFF3" w14:textId="3C00358E" w:rsidR="00C27551" w:rsidRPr="00C27551" w:rsidRDefault="00353997" w:rsidP="00C275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C27551">
        <w:rPr>
          <w:rFonts w:ascii="Arial" w:eastAsia="Times New Roman" w:hAnsi="Arial" w:cs="Arial"/>
          <w:b/>
          <w:color w:val="000000"/>
        </w:rPr>
        <w:t xml:space="preserve">Resources </w:t>
      </w:r>
      <w:r>
        <w:rPr>
          <w:rFonts w:ascii="Arial" w:eastAsia="Times New Roman" w:hAnsi="Arial" w:cs="Arial"/>
          <w:b/>
          <w:color w:val="000000"/>
        </w:rPr>
        <w:t xml:space="preserve">on </w:t>
      </w:r>
      <w:r w:rsidR="00C27551" w:rsidRPr="00C27551">
        <w:rPr>
          <w:rFonts w:ascii="Arial" w:eastAsia="Times New Roman" w:hAnsi="Arial" w:cs="Arial"/>
          <w:b/>
          <w:color w:val="000000"/>
        </w:rPr>
        <w:t xml:space="preserve">Talent-Investing </w:t>
      </w:r>
    </w:p>
    <w:p w14:paraId="4AB88A11" w14:textId="77777777" w:rsidR="00C27551" w:rsidRDefault="00C27551" w:rsidP="00C275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8E7E016" w14:textId="327E65D7" w:rsidR="00C27551" w:rsidRPr="007C4C0A" w:rsidRDefault="00C27551" w:rsidP="00C27551">
      <w:pPr>
        <w:rPr>
          <w:rFonts w:cstheme="minorHAnsi"/>
          <w:sz w:val="24"/>
          <w:szCs w:val="24"/>
        </w:rPr>
      </w:pPr>
      <w:r w:rsidRPr="007C4C0A">
        <w:rPr>
          <w:rFonts w:cstheme="minorHAnsi"/>
          <w:sz w:val="24"/>
          <w:szCs w:val="24"/>
        </w:rPr>
        <w:t xml:space="preserve">Thank you for registering for Philanthropy New York’s skill-building workshop </w:t>
      </w:r>
      <w:r w:rsidRPr="007C4C0A">
        <w:rPr>
          <w:rFonts w:cstheme="minorHAnsi"/>
          <w:b/>
          <w:i/>
          <w:sz w:val="24"/>
          <w:szCs w:val="24"/>
        </w:rPr>
        <w:t>Fund the People: How and Why to Invest in the Staff of Grantee Organizations</w:t>
      </w:r>
      <w:r w:rsidRPr="007C4C0A">
        <w:rPr>
          <w:rFonts w:cstheme="minorHAnsi"/>
          <w:sz w:val="24"/>
          <w:szCs w:val="24"/>
        </w:rPr>
        <w:t xml:space="preserve"> </w:t>
      </w:r>
      <w:r w:rsidR="00CA00B2" w:rsidRPr="007C4C0A">
        <w:rPr>
          <w:rFonts w:cstheme="minorHAnsi"/>
          <w:sz w:val="24"/>
          <w:szCs w:val="24"/>
        </w:rPr>
        <w:t xml:space="preserve">happening on </w:t>
      </w:r>
      <w:r w:rsidR="00CA00B2" w:rsidRPr="007C4C0A">
        <w:rPr>
          <w:rFonts w:cstheme="minorHAnsi"/>
          <w:b/>
          <w:sz w:val="24"/>
          <w:szCs w:val="24"/>
        </w:rPr>
        <w:t>Wednesday, May 16, 2018</w:t>
      </w:r>
      <w:r w:rsidR="00CA00B2" w:rsidRPr="007C4C0A">
        <w:rPr>
          <w:rFonts w:cstheme="minorHAnsi"/>
          <w:sz w:val="24"/>
          <w:szCs w:val="24"/>
        </w:rPr>
        <w:t xml:space="preserve"> featuring </w:t>
      </w:r>
      <w:r w:rsidR="000530B1" w:rsidRPr="007C4C0A">
        <w:rPr>
          <w:rFonts w:cstheme="minorHAnsi"/>
          <w:sz w:val="24"/>
          <w:szCs w:val="24"/>
        </w:rPr>
        <w:t xml:space="preserve">staff from </w:t>
      </w:r>
      <w:r w:rsidR="00CA00B2" w:rsidRPr="007C4C0A">
        <w:rPr>
          <w:rFonts w:cstheme="minorHAnsi"/>
          <w:sz w:val="24"/>
          <w:szCs w:val="24"/>
        </w:rPr>
        <w:t xml:space="preserve">Fund the People and the Evelyn &amp; Walter Haas, Jr. Fund. </w:t>
      </w:r>
      <w:r w:rsidRPr="007C4C0A">
        <w:rPr>
          <w:rFonts w:cstheme="minorHAnsi"/>
          <w:sz w:val="24"/>
          <w:szCs w:val="24"/>
        </w:rPr>
        <w:t>To help introduce you to the rationale, theory, and practical applications of investing in nonprofit talent we encourage you to access the resources listed below</w:t>
      </w:r>
      <w:r w:rsidR="000515F8" w:rsidRPr="007C4C0A">
        <w:rPr>
          <w:rFonts w:cstheme="minorHAnsi"/>
          <w:sz w:val="24"/>
          <w:szCs w:val="24"/>
        </w:rPr>
        <w:t xml:space="preserve"> </w:t>
      </w:r>
      <w:r w:rsidRPr="007C4C0A">
        <w:rPr>
          <w:rFonts w:cstheme="minorHAnsi"/>
          <w:sz w:val="24"/>
          <w:szCs w:val="24"/>
        </w:rPr>
        <w:t>that are featured in Fund the People’s free Toolkit</w:t>
      </w:r>
      <w:r w:rsidR="007C4C0A">
        <w:rPr>
          <w:rFonts w:cstheme="minorHAnsi"/>
          <w:sz w:val="24"/>
          <w:szCs w:val="24"/>
        </w:rPr>
        <w:t xml:space="preserve"> at </w:t>
      </w:r>
      <w:hyperlink r:id="rId7" w:history="1">
        <w:r w:rsidR="007C4C0A" w:rsidRPr="006B1062">
          <w:rPr>
            <w:rStyle w:val="Hyperlink"/>
            <w:rFonts w:cstheme="minorHAnsi"/>
            <w:sz w:val="24"/>
            <w:szCs w:val="24"/>
          </w:rPr>
          <w:t>www.fundthepeople.org/toolkit</w:t>
        </w:r>
      </w:hyperlink>
      <w:r w:rsidR="007C4C0A">
        <w:rPr>
          <w:rFonts w:cstheme="minorHAnsi"/>
          <w:sz w:val="24"/>
          <w:szCs w:val="24"/>
        </w:rPr>
        <w:t xml:space="preserve">. </w:t>
      </w:r>
    </w:p>
    <w:p w14:paraId="54D689A8" w14:textId="53062DF7" w:rsidR="00C27551" w:rsidRPr="007C4C0A" w:rsidRDefault="00D954E7" w:rsidP="000C5CC3">
      <w:pPr>
        <w:pStyle w:val="ListParagraph"/>
        <w:numPr>
          <w:ilvl w:val="0"/>
          <w:numId w:val="9"/>
        </w:numPr>
        <w:spacing w:after="0" w:line="240" w:lineRule="auto"/>
        <w:ind w:left="360"/>
        <w:textAlignment w:val="baseline"/>
        <w:rPr>
          <w:rFonts w:cstheme="minorHAnsi"/>
          <w:sz w:val="24"/>
          <w:szCs w:val="24"/>
        </w:rPr>
      </w:pPr>
      <w:hyperlink r:id="rId8" w:history="1">
        <w:r w:rsidR="00C27551" w:rsidRPr="007C4C0A">
          <w:rPr>
            <w:rStyle w:val="Hyperlink"/>
            <w:rFonts w:eastAsia="Times New Roman" w:cstheme="minorHAnsi"/>
            <w:sz w:val="24"/>
            <w:szCs w:val="24"/>
          </w:rPr>
          <w:t>Top Reasons to Invest in Nonprofit Talent</w:t>
        </w:r>
      </w:hyperlink>
      <w:r w:rsidR="00471F6D" w:rsidRPr="007C4C0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71F6D" w:rsidRPr="007C4C0A">
        <w:rPr>
          <w:rFonts w:cstheme="minorHAnsi"/>
          <w:sz w:val="24"/>
          <w:szCs w:val="24"/>
        </w:rPr>
        <w:t xml:space="preserve">- </w:t>
      </w:r>
      <w:r w:rsidR="00E267EE" w:rsidRPr="007C4C0A">
        <w:rPr>
          <w:rFonts w:cstheme="minorHAnsi"/>
          <w:sz w:val="24"/>
          <w:szCs w:val="24"/>
        </w:rPr>
        <w:t>Succinct anecdotes that can be used to introduce the concept of talent-investing to foundation staff and board trustees, and to communicate the compelling reasons for investing in nonprofit talent</w:t>
      </w:r>
    </w:p>
    <w:p w14:paraId="370BDA99" w14:textId="77777777" w:rsidR="00471F6D" w:rsidRPr="007C4C0A" w:rsidRDefault="00471F6D" w:rsidP="000C5CC3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56BC99F" w14:textId="13B8011D" w:rsidR="00C27551" w:rsidRPr="007C4C0A" w:rsidRDefault="00D954E7" w:rsidP="000C5CC3">
      <w:pPr>
        <w:pStyle w:val="ListParagraph"/>
        <w:numPr>
          <w:ilvl w:val="0"/>
          <w:numId w:val="9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hyperlink r:id="rId9" w:history="1">
        <w:r w:rsidR="00C27551" w:rsidRPr="007C4C0A">
          <w:rPr>
            <w:rStyle w:val="Hyperlink"/>
            <w:rFonts w:eastAsia="Times New Roman" w:cstheme="minorHAnsi"/>
            <w:sz w:val="24"/>
            <w:szCs w:val="24"/>
          </w:rPr>
          <w:t>Funder Myths &amp; Realities</w:t>
        </w:r>
      </w:hyperlink>
      <w:r w:rsidR="00CC7933" w:rsidRPr="007C4C0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C7933" w:rsidRPr="007C4C0A">
        <w:rPr>
          <w:rFonts w:cstheme="minorHAnsi"/>
          <w:sz w:val="24"/>
          <w:szCs w:val="24"/>
        </w:rPr>
        <w:t xml:space="preserve">- </w:t>
      </w:r>
      <w:r w:rsidR="00D25F3E" w:rsidRPr="007C4C0A">
        <w:rPr>
          <w:rFonts w:cstheme="minorHAnsi"/>
          <w:sz w:val="24"/>
          <w:szCs w:val="24"/>
        </w:rPr>
        <w:t>Provides alternative views about some of the harmful assumptions that continue to inform funders’ attitudes and behaviors toward the nonprofit workforce.</w:t>
      </w:r>
    </w:p>
    <w:p w14:paraId="62B5EF1F" w14:textId="77777777" w:rsidR="00471F6D" w:rsidRPr="007C4C0A" w:rsidRDefault="00471F6D" w:rsidP="000C5CC3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322BF90" w14:textId="7A8D1B38" w:rsidR="00C27551" w:rsidRPr="007C4C0A" w:rsidRDefault="00D954E7" w:rsidP="000C5CC3">
      <w:pPr>
        <w:pStyle w:val="ListParagraph"/>
        <w:numPr>
          <w:ilvl w:val="0"/>
          <w:numId w:val="9"/>
        </w:numPr>
        <w:spacing w:after="0" w:line="240" w:lineRule="auto"/>
        <w:ind w:left="360"/>
        <w:textAlignment w:val="baseline"/>
        <w:rPr>
          <w:rFonts w:cstheme="minorHAnsi"/>
          <w:sz w:val="24"/>
          <w:szCs w:val="24"/>
        </w:rPr>
      </w:pPr>
      <w:hyperlink r:id="rId10" w:history="1">
        <w:r w:rsidR="00C27551" w:rsidRPr="007C4C0A">
          <w:rPr>
            <w:rStyle w:val="Hyperlink"/>
            <w:rFonts w:eastAsia="Times New Roman" w:cstheme="minorHAnsi"/>
            <w:sz w:val="24"/>
            <w:szCs w:val="24"/>
          </w:rPr>
          <w:t>Investment Deficit by The Numbers</w:t>
        </w:r>
      </w:hyperlink>
      <w:r w:rsidR="00D25F3E" w:rsidRPr="007C4C0A"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="004B2089" w:rsidRPr="007C4C0A">
        <w:rPr>
          <w:rFonts w:cstheme="minorHAnsi"/>
          <w:sz w:val="24"/>
          <w:szCs w:val="24"/>
        </w:rPr>
        <w:t xml:space="preserve">Infographic that offers data on the deficit of investment of the </w:t>
      </w:r>
      <w:r w:rsidR="005D3977">
        <w:rPr>
          <w:rFonts w:cstheme="minorHAnsi"/>
          <w:sz w:val="24"/>
          <w:szCs w:val="24"/>
        </w:rPr>
        <w:t xml:space="preserve">U.S. </w:t>
      </w:r>
      <w:r w:rsidR="004B2089" w:rsidRPr="007C4C0A">
        <w:rPr>
          <w:rFonts w:cstheme="minorHAnsi"/>
          <w:sz w:val="24"/>
          <w:szCs w:val="24"/>
        </w:rPr>
        <w:t>nonprofit workforce.</w:t>
      </w:r>
    </w:p>
    <w:p w14:paraId="31F2632C" w14:textId="77777777" w:rsidR="00471F6D" w:rsidRPr="007C4C0A" w:rsidRDefault="00471F6D" w:rsidP="000C5CC3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771BD93E" w14:textId="7D09A476" w:rsidR="00C27551" w:rsidRPr="007C4C0A" w:rsidRDefault="00D954E7" w:rsidP="000C5CC3">
      <w:pPr>
        <w:pStyle w:val="ListParagraph"/>
        <w:numPr>
          <w:ilvl w:val="0"/>
          <w:numId w:val="9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hyperlink r:id="rId11" w:history="1">
        <w:r w:rsidR="00C27551" w:rsidRPr="007C4C0A">
          <w:rPr>
            <w:rStyle w:val="Hyperlink"/>
            <w:rFonts w:eastAsia="Times New Roman" w:cstheme="minorHAnsi"/>
            <w:sz w:val="24"/>
            <w:szCs w:val="24"/>
          </w:rPr>
          <w:t xml:space="preserve">Investing in Equity </w:t>
        </w:r>
        <w:r w:rsidR="00516F26">
          <w:rPr>
            <w:rStyle w:val="Hyperlink"/>
            <w:rFonts w:eastAsia="Times New Roman" w:cstheme="minorHAnsi"/>
            <w:sz w:val="24"/>
            <w:szCs w:val="24"/>
          </w:rPr>
          <w:t>I</w:t>
        </w:r>
        <w:r w:rsidR="00C27551" w:rsidRPr="007C4C0A">
          <w:rPr>
            <w:rStyle w:val="Hyperlink"/>
            <w:rFonts w:eastAsia="Times New Roman" w:cstheme="minorHAnsi"/>
            <w:sz w:val="24"/>
            <w:szCs w:val="24"/>
          </w:rPr>
          <w:t>n</w:t>
        </w:r>
        <w:r w:rsidR="00516F26">
          <w:rPr>
            <w:rStyle w:val="Hyperlink"/>
            <w:rFonts w:eastAsia="Times New Roman" w:cstheme="minorHAnsi"/>
            <w:sz w:val="24"/>
            <w:szCs w:val="24"/>
          </w:rPr>
          <w:t>side</w:t>
        </w:r>
        <w:r w:rsidR="00C27551" w:rsidRPr="007C4C0A">
          <w:rPr>
            <w:rStyle w:val="Hyperlink"/>
            <w:rFonts w:eastAsia="Times New Roman" w:cstheme="minorHAnsi"/>
            <w:sz w:val="24"/>
            <w:szCs w:val="24"/>
          </w:rPr>
          <w:t xml:space="preserve"> the Nonprofit Workforce</w:t>
        </w:r>
      </w:hyperlink>
      <w:r w:rsidR="00D25F3E" w:rsidRPr="007C4C0A"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="007E3724" w:rsidRPr="007C4C0A">
        <w:rPr>
          <w:rFonts w:cstheme="minorHAnsi"/>
          <w:sz w:val="24"/>
          <w:szCs w:val="24"/>
          <w:shd w:val="clear" w:color="auto" w:fill="FFFFFF"/>
        </w:rPr>
        <w:t xml:space="preserve">Our brief statement argues that </w:t>
      </w:r>
      <w:r w:rsidR="00AD5102">
        <w:rPr>
          <w:rFonts w:cstheme="minorHAnsi"/>
          <w:sz w:val="24"/>
          <w:szCs w:val="24"/>
          <w:shd w:val="clear" w:color="auto" w:fill="FFFFFF"/>
        </w:rPr>
        <w:t xml:space="preserve">advancing </w:t>
      </w:r>
      <w:r w:rsidR="007E3724" w:rsidRPr="007C4C0A">
        <w:rPr>
          <w:rFonts w:cstheme="minorHAnsi"/>
          <w:sz w:val="24"/>
          <w:szCs w:val="24"/>
          <w:shd w:val="clear" w:color="auto" w:fill="FFFFFF"/>
        </w:rPr>
        <w:t>equity and inclusion in nonprofits is inextricably intertwined with investing in the nonprofit workforce.</w:t>
      </w:r>
    </w:p>
    <w:p w14:paraId="5E68E70C" w14:textId="77777777" w:rsidR="002B5F28" w:rsidRPr="007C4C0A" w:rsidRDefault="002B5F28" w:rsidP="000C5CC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02DD6FF" w14:textId="29B909A5" w:rsidR="000530B1" w:rsidRPr="007C4C0A" w:rsidRDefault="00D954E7" w:rsidP="000C5CC3">
      <w:pPr>
        <w:pStyle w:val="NoSpacing"/>
        <w:numPr>
          <w:ilvl w:val="0"/>
          <w:numId w:val="9"/>
        </w:numPr>
        <w:ind w:left="360"/>
        <w:rPr>
          <w:sz w:val="24"/>
          <w:szCs w:val="24"/>
        </w:rPr>
      </w:pPr>
      <w:hyperlink r:id="rId12" w:history="1">
        <w:r w:rsidR="00C27551" w:rsidRPr="007C4C0A">
          <w:rPr>
            <w:rStyle w:val="Hyperlink"/>
            <w:rFonts w:cstheme="minorHAnsi"/>
            <w:sz w:val="24"/>
            <w:szCs w:val="24"/>
          </w:rPr>
          <w:t>Evelyn &amp; Walter Haas, Jr. Fund Field Story</w:t>
        </w:r>
      </w:hyperlink>
      <w:r w:rsidR="00C27551" w:rsidRPr="007C4C0A">
        <w:rPr>
          <w:sz w:val="24"/>
          <w:szCs w:val="24"/>
        </w:rPr>
        <w:t xml:space="preserve"> </w:t>
      </w:r>
      <w:r w:rsidR="005B417B" w:rsidRPr="007C4C0A">
        <w:rPr>
          <w:sz w:val="24"/>
          <w:szCs w:val="24"/>
        </w:rPr>
        <w:t>- A deep respect and appreciation for the power of effective leadership is in the Evelyn &amp; Walter Haas, Jr. Fund’s DNA. Read the foundation’s field story to learn more about their talent-investments that support national movements including immigrant rights and LGBTQ rights. </w:t>
      </w:r>
    </w:p>
    <w:p w14:paraId="3AB3D4A9" w14:textId="77777777" w:rsidR="00BE68F4" w:rsidRPr="007C4C0A" w:rsidRDefault="00BE68F4" w:rsidP="000C5CC3">
      <w:pPr>
        <w:pStyle w:val="NoSpacing"/>
        <w:rPr>
          <w:sz w:val="24"/>
          <w:szCs w:val="24"/>
        </w:rPr>
      </w:pPr>
    </w:p>
    <w:p w14:paraId="1C1E28A9" w14:textId="707B8B04" w:rsidR="0020296B" w:rsidRPr="007C4C0A" w:rsidRDefault="00D954E7" w:rsidP="000C5CC3">
      <w:pPr>
        <w:pStyle w:val="ListParagraph"/>
        <w:numPr>
          <w:ilvl w:val="0"/>
          <w:numId w:val="9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hyperlink r:id="rId13" w:history="1">
        <w:r w:rsidR="00B20006" w:rsidRPr="007C4C0A">
          <w:rPr>
            <w:rStyle w:val="Hyperlink"/>
            <w:rFonts w:eastAsia="Times New Roman" w:cstheme="minorHAnsi"/>
            <w:sz w:val="24"/>
            <w:szCs w:val="24"/>
          </w:rPr>
          <w:t>“From Leadership to Impact: Connecting the Dots”</w:t>
        </w:r>
      </w:hyperlink>
      <w:r w:rsidR="00B20006" w:rsidRPr="007C4C0A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034FBF" w:rsidRPr="007C4C0A">
        <w:rPr>
          <w:rFonts w:eastAsia="Times New Roman" w:cstheme="minorHAnsi"/>
          <w:color w:val="000000"/>
          <w:sz w:val="24"/>
          <w:szCs w:val="24"/>
        </w:rPr>
        <w:t>A five-year evaluation of t</w:t>
      </w:r>
      <w:r w:rsidR="00B20006" w:rsidRPr="007C4C0A">
        <w:rPr>
          <w:rFonts w:eastAsia="Times New Roman" w:cstheme="minorHAnsi"/>
          <w:color w:val="000000"/>
          <w:sz w:val="24"/>
          <w:szCs w:val="24"/>
        </w:rPr>
        <w:t xml:space="preserve">he Evelyn &amp; Walter </w:t>
      </w:r>
      <w:r w:rsidR="0020296B" w:rsidRPr="007C4C0A">
        <w:rPr>
          <w:rFonts w:eastAsia="Times New Roman" w:cstheme="minorHAnsi"/>
          <w:color w:val="000000"/>
          <w:sz w:val="24"/>
          <w:szCs w:val="24"/>
        </w:rPr>
        <w:t>Haas, Jr. Fund</w:t>
      </w:r>
      <w:r w:rsidR="00034FBF" w:rsidRPr="007C4C0A">
        <w:rPr>
          <w:rFonts w:eastAsia="Times New Roman" w:cstheme="minorHAnsi"/>
          <w:color w:val="000000"/>
          <w:sz w:val="24"/>
          <w:szCs w:val="24"/>
        </w:rPr>
        <w:t>’s</w:t>
      </w:r>
      <w:r w:rsidR="0020296B" w:rsidRPr="007C4C0A">
        <w:rPr>
          <w:rFonts w:eastAsia="Times New Roman" w:cstheme="minorHAnsi"/>
          <w:color w:val="000000"/>
          <w:sz w:val="24"/>
          <w:szCs w:val="24"/>
        </w:rPr>
        <w:t xml:space="preserve"> Flexible Leadership Awards </w:t>
      </w:r>
      <w:r w:rsidR="00034FBF" w:rsidRPr="007C4C0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7F8872D" w14:textId="77777777" w:rsidR="00C27551" w:rsidRPr="00C27551" w:rsidRDefault="00C27551" w:rsidP="000C5C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30EC68" w14:textId="081A857C" w:rsidR="00C27551" w:rsidRPr="007C4C0A" w:rsidRDefault="00D954E7" w:rsidP="000C5CC3">
      <w:pPr>
        <w:pStyle w:val="ListParagraph"/>
        <w:numPr>
          <w:ilvl w:val="0"/>
          <w:numId w:val="9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hyperlink r:id="rId14" w:history="1">
        <w:r w:rsidR="00C27551" w:rsidRPr="007C4C0A">
          <w:rPr>
            <w:rStyle w:val="Hyperlink"/>
            <w:rFonts w:eastAsia="Times New Roman" w:cstheme="minorHAnsi"/>
            <w:sz w:val="24"/>
            <w:szCs w:val="24"/>
          </w:rPr>
          <w:t>Guide to Investing in Grantee Talent</w:t>
        </w:r>
      </w:hyperlink>
      <w:r w:rsidR="00DC619C" w:rsidRPr="007C4C0A">
        <w:rPr>
          <w:rFonts w:eastAsia="Times New Roman" w:cstheme="minorHAnsi"/>
          <w:sz w:val="24"/>
          <w:szCs w:val="24"/>
        </w:rPr>
        <w:t xml:space="preserve"> - </w:t>
      </w:r>
      <w:r w:rsidR="00DC619C" w:rsidRPr="007C4C0A">
        <w:rPr>
          <w:rFonts w:cstheme="minorHAnsi"/>
          <w:sz w:val="24"/>
          <w:szCs w:val="24"/>
          <w:shd w:val="clear" w:color="auto" w:fill="FFFFFF"/>
        </w:rPr>
        <w:t>Helps you invest in the human capacity of grantee organizations to effectively advance their missions.</w:t>
      </w:r>
    </w:p>
    <w:p w14:paraId="43C3D065" w14:textId="77777777" w:rsidR="0020296B" w:rsidRPr="00C27551" w:rsidRDefault="0020296B" w:rsidP="000C5CC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8EA4283" w14:textId="3CBD118D" w:rsidR="00C27551" w:rsidRPr="007C4C0A" w:rsidRDefault="00D954E7" w:rsidP="000C5CC3">
      <w:pPr>
        <w:pStyle w:val="ListParagraph"/>
        <w:numPr>
          <w:ilvl w:val="0"/>
          <w:numId w:val="9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hyperlink r:id="rId15" w:history="1">
        <w:r w:rsidR="00C27551" w:rsidRPr="007C4C0A">
          <w:rPr>
            <w:rStyle w:val="Hyperlink"/>
            <w:rFonts w:eastAsia="Times New Roman" w:cstheme="minorHAnsi"/>
            <w:sz w:val="24"/>
            <w:szCs w:val="24"/>
          </w:rPr>
          <w:t>Talent-Investment Menu</w:t>
        </w:r>
      </w:hyperlink>
      <w:r w:rsidR="00DC619C" w:rsidRPr="007C4C0A">
        <w:rPr>
          <w:rFonts w:eastAsia="Times New Roman" w:cstheme="minorHAnsi"/>
          <w:sz w:val="24"/>
          <w:szCs w:val="24"/>
        </w:rPr>
        <w:t xml:space="preserve"> - </w:t>
      </w:r>
      <w:r w:rsidR="00E83F96" w:rsidRPr="007C4C0A">
        <w:rPr>
          <w:rFonts w:cstheme="minorHAnsi"/>
          <w:sz w:val="24"/>
          <w:szCs w:val="24"/>
          <w:shd w:val="clear" w:color="auto" w:fill="FFFFFF"/>
        </w:rPr>
        <w:t xml:space="preserve">Outlines the different investment partners, key roles, spheres of investment levels, and where along the talent-investment </w:t>
      </w:r>
      <w:r w:rsidR="003C0F15">
        <w:rPr>
          <w:rFonts w:cstheme="minorHAnsi"/>
          <w:sz w:val="24"/>
          <w:szCs w:val="24"/>
          <w:shd w:val="clear" w:color="auto" w:fill="FFFFFF"/>
        </w:rPr>
        <w:t>menu</w:t>
      </w:r>
      <w:r w:rsidR="00E83F96" w:rsidRPr="007C4C0A">
        <w:rPr>
          <w:rFonts w:cstheme="minorHAnsi"/>
          <w:sz w:val="24"/>
          <w:szCs w:val="24"/>
          <w:shd w:val="clear" w:color="auto" w:fill="FFFFFF"/>
        </w:rPr>
        <w:t xml:space="preserve"> funders can focus their talent-investments.</w:t>
      </w:r>
    </w:p>
    <w:p w14:paraId="6AAD21E8" w14:textId="77777777" w:rsidR="0020296B" w:rsidRPr="00C27551" w:rsidRDefault="0020296B" w:rsidP="000C5CC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5060FD7" w14:textId="5CF298DB" w:rsidR="00365377" w:rsidRPr="005827EE" w:rsidRDefault="00D954E7" w:rsidP="000C5CC3">
      <w:pPr>
        <w:pStyle w:val="ListParagraph"/>
        <w:numPr>
          <w:ilvl w:val="0"/>
          <w:numId w:val="9"/>
        </w:numPr>
        <w:spacing w:after="0" w:line="240" w:lineRule="auto"/>
        <w:ind w:left="360"/>
        <w:textAlignment w:val="baseline"/>
        <w:rPr>
          <w:rFonts w:eastAsia="Times New Roman" w:cstheme="minorHAnsi"/>
          <w:b/>
          <w:sz w:val="24"/>
          <w:szCs w:val="24"/>
        </w:rPr>
      </w:pPr>
      <w:hyperlink r:id="rId16" w:history="1">
        <w:r w:rsidR="0020296B" w:rsidRPr="007C4C0A">
          <w:rPr>
            <w:rStyle w:val="Hyperlink"/>
            <w:rFonts w:eastAsia="Times New Roman" w:cstheme="minorHAnsi"/>
            <w:sz w:val="24"/>
            <w:szCs w:val="24"/>
          </w:rPr>
          <w:t>Discussion Guides for Funders &amp; Nonprofits</w:t>
        </w:r>
      </w:hyperlink>
      <w:r w:rsidR="00E83F96" w:rsidRPr="007C4C0A">
        <w:rPr>
          <w:rFonts w:eastAsia="Times New Roman" w:cstheme="minorHAnsi"/>
          <w:sz w:val="24"/>
          <w:szCs w:val="24"/>
        </w:rPr>
        <w:t xml:space="preserve"> - </w:t>
      </w:r>
      <w:r w:rsidR="00E83F96" w:rsidRPr="007C4C0A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 xml:space="preserve">These discussion guides for funders and nonprofits support meaningful conversations about funding talent development and help define next steps for action.  </w:t>
      </w:r>
    </w:p>
    <w:sectPr w:rsidR="00365377" w:rsidRPr="005827E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66705" w14:textId="77777777" w:rsidR="00D954E7" w:rsidRDefault="00D954E7" w:rsidP="005827EE">
      <w:pPr>
        <w:spacing w:after="0" w:line="240" w:lineRule="auto"/>
      </w:pPr>
      <w:r>
        <w:separator/>
      </w:r>
    </w:p>
  </w:endnote>
  <w:endnote w:type="continuationSeparator" w:id="0">
    <w:p w14:paraId="78B4D441" w14:textId="77777777" w:rsidR="00D954E7" w:rsidRDefault="00D954E7" w:rsidP="0058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C6542" w14:textId="77777777" w:rsidR="00D954E7" w:rsidRDefault="00D954E7" w:rsidP="005827EE">
      <w:pPr>
        <w:spacing w:after="0" w:line="240" w:lineRule="auto"/>
      </w:pPr>
      <w:r>
        <w:separator/>
      </w:r>
    </w:p>
  </w:footnote>
  <w:footnote w:type="continuationSeparator" w:id="0">
    <w:p w14:paraId="0129BB6A" w14:textId="77777777" w:rsidR="00D954E7" w:rsidRDefault="00D954E7" w:rsidP="0058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891" w14:textId="4CCC06D7" w:rsidR="005827EE" w:rsidRDefault="005827EE">
    <w:pPr>
      <w:pStyle w:val="Header"/>
    </w:pPr>
    <w:r w:rsidRPr="00AA6990">
      <w:rPr>
        <w:noProof/>
      </w:rPr>
      <w:drawing>
        <wp:inline distT="0" distB="0" distL="0" distR="0" wp14:anchorId="4A2F3DC5" wp14:editId="11619C57">
          <wp:extent cx="1530350" cy="750738"/>
          <wp:effectExtent l="0" t="0" r="0" b="0"/>
          <wp:docPr id="1" name="Picture 1" descr="https://lh3.googleusercontent.com/3amjODJIgIJxU38iMRHm3KRTksrkj2LwNpZK5k5BM5LYHXejtV5UhdtcaGIFO3p02-0J7phNF3a-nNk1LplK-pMKi67CfUJQgWaY1-W33PTU7KO7-pqWEI3BTX2Ur-LGxPnqN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3amjODJIgIJxU38iMRHm3KRTksrkj2LwNpZK5k5BM5LYHXejtV5UhdtcaGIFO3p02-0J7phNF3a-nNk1LplK-pMKi67CfUJQgWaY1-W33PTU7KO7-pqWEI3BTX2Ur-LGxPnqNre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654" cy="753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5C7"/>
    <w:multiLevelType w:val="multilevel"/>
    <w:tmpl w:val="82E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03C2F"/>
    <w:multiLevelType w:val="hybridMultilevel"/>
    <w:tmpl w:val="3FE2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50869"/>
    <w:multiLevelType w:val="hybridMultilevel"/>
    <w:tmpl w:val="ADDE98C2"/>
    <w:lvl w:ilvl="0" w:tplc="E5360F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0E81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EEA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A5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A4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2C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61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21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9A5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A4303"/>
    <w:multiLevelType w:val="hybridMultilevel"/>
    <w:tmpl w:val="1A62A954"/>
    <w:lvl w:ilvl="0" w:tplc="AFF0F5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4EF12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03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83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2A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4B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0F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C6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2"/>
  </w:num>
  <w:num w:numId="5">
    <w:abstractNumId w:val="2"/>
    <w:lvlOverride w:ilvl="2">
      <w:lvl w:ilvl="2" w:tplc="D11EEA24">
        <w:numFmt w:val="lowerRoman"/>
        <w:lvlText w:val="%3."/>
        <w:lvlJc w:val="right"/>
      </w:lvl>
    </w:lvlOverride>
  </w:num>
  <w:num w:numId="6">
    <w:abstractNumId w:val="3"/>
  </w:num>
  <w:num w:numId="7">
    <w:abstractNumId w:val="3"/>
    <w:lvlOverride w:ilvl="2">
      <w:lvl w:ilvl="2" w:tplc="3DE034FC">
        <w:numFmt w:val="lowerRoman"/>
        <w:lvlText w:val="%3."/>
        <w:lvlJc w:val="right"/>
      </w:lvl>
    </w:lvlOverride>
  </w:num>
  <w:num w:numId="8">
    <w:abstractNumId w:val="3"/>
    <w:lvlOverride w:ilvl="0">
      <w:lvl w:ilvl="0" w:tplc="AFF0F5C4">
        <w:numFmt w:val="decimal"/>
        <w:lvlText w:val="%1."/>
        <w:lvlJc w:val="left"/>
      </w:lvl>
    </w:lvlOverride>
    <w:lvlOverride w:ilvl="2">
      <w:lvl w:ilvl="2" w:tplc="3DE034FC">
        <w:numFmt w:val="lowerRoman"/>
        <w:lvlText w:val="%3."/>
        <w:lvlJc w:val="right"/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51"/>
    <w:rsid w:val="00034FBF"/>
    <w:rsid w:val="000515F8"/>
    <w:rsid w:val="000530B1"/>
    <w:rsid w:val="000C5CC3"/>
    <w:rsid w:val="0020296B"/>
    <w:rsid w:val="002B5F28"/>
    <w:rsid w:val="00334C79"/>
    <w:rsid w:val="00353997"/>
    <w:rsid w:val="00365377"/>
    <w:rsid w:val="0036618A"/>
    <w:rsid w:val="003C0F15"/>
    <w:rsid w:val="00471F6D"/>
    <w:rsid w:val="004B2089"/>
    <w:rsid w:val="00516F26"/>
    <w:rsid w:val="005827EE"/>
    <w:rsid w:val="005859B1"/>
    <w:rsid w:val="005B417B"/>
    <w:rsid w:val="005D3977"/>
    <w:rsid w:val="007C4C0A"/>
    <w:rsid w:val="007E3724"/>
    <w:rsid w:val="00953E74"/>
    <w:rsid w:val="00AD178D"/>
    <w:rsid w:val="00AD5102"/>
    <w:rsid w:val="00AE6FF7"/>
    <w:rsid w:val="00B20006"/>
    <w:rsid w:val="00B9473E"/>
    <w:rsid w:val="00BE68F4"/>
    <w:rsid w:val="00C27551"/>
    <w:rsid w:val="00CA00B2"/>
    <w:rsid w:val="00CB744C"/>
    <w:rsid w:val="00CC7933"/>
    <w:rsid w:val="00D25F3E"/>
    <w:rsid w:val="00D954E7"/>
    <w:rsid w:val="00DC619C"/>
    <w:rsid w:val="00E267EE"/>
    <w:rsid w:val="00E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A621"/>
  <w15:chartTrackingRefBased/>
  <w15:docId w15:val="{DA51EB61-BD36-4CF3-983E-24CA18B8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F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F6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83F96"/>
    <w:rPr>
      <w:b/>
      <w:bCs/>
    </w:rPr>
  </w:style>
  <w:style w:type="paragraph" w:styleId="ListParagraph">
    <w:name w:val="List Paragraph"/>
    <w:basedOn w:val="Normal"/>
    <w:uiPriority w:val="34"/>
    <w:qFormat/>
    <w:rsid w:val="00353997"/>
    <w:pPr>
      <w:ind w:left="720"/>
      <w:contextualSpacing/>
    </w:pPr>
  </w:style>
  <w:style w:type="paragraph" w:styleId="NoSpacing">
    <w:name w:val="No Spacing"/>
    <w:uiPriority w:val="1"/>
    <w:qFormat/>
    <w:rsid w:val="000530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2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EE"/>
  </w:style>
  <w:style w:type="paragraph" w:styleId="Footer">
    <w:name w:val="footer"/>
    <w:basedOn w:val="Normal"/>
    <w:link w:val="FooterChar"/>
    <w:uiPriority w:val="99"/>
    <w:unhideWhenUsed/>
    <w:rsid w:val="00582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thepeople.org/toolkit/casemaking/invest-talent/" TargetMode="External"/><Relationship Id="rId13" Type="http://schemas.openxmlformats.org/officeDocument/2006/relationships/hyperlink" Target="https://www.haasjr.org/resources/collections/the-fla-evalu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thepeople.org/toolkit" TargetMode="External"/><Relationship Id="rId12" Type="http://schemas.openxmlformats.org/officeDocument/2006/relationships/hyperlink" Target="http://fundthepeople.org/toolkit/field/haa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undthepeople.org/toolkit/guid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undthepeople.org/toolkit/inclusivity/equ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undthepeople.org/toolkit/how-to-guides/talent-menu/" TargetMode="External"/><Relationship Id="rId10" Type="http://schemas.openxmlformats.org/officeDocument/2006/relationships/hyperlink" Target="http://fundthepeople.org/toolkit/casemaking/investment-defic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undthepeople.org/toolkit/casemaking/myths/" TargetMode="External"/><Relationship Id="rId14" Type="http://schemas.openxmlformats.org/officeDocument/2006/relationships/hyperlink" Target="http://fundthepeople.org/toolkit/how-to-guides/fund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Caldera-Durant</dc:creator>
  <cp:keywords/>
  <dc:description/>
  <cp:lastModifiedBy>Jordan Joseph</cp:lastModifiedBy>
  <cp:revision>2</cp:revision>
  <dcterms:created xsi:type="dcterms:W3CDTF">2018-05-24T16:33:00Z</dcterms:created>
  <dcterms:modified xsi:type="dcterms:W3CDTF">2018-05-24T16:33:00Z</dcterms:modified>
</cp:coreProperties>
</file>